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350C5" w14:textId="77777777" w:rsidR="002866E8" w:rsidRDefault="002866E8" w:rsidP="002866E8">
      <w:pPr>
        <w:jc w:val="left"/>
        <w:rPr>
          <w:rFonts w:eastAsia="Times New Roman" w:cs="Arial"/>
          <w:b/>
          <w:bCs/>
          <w:iCs/>
          <w:noProof/>
          <w:sz w:val="28"/>
          <w:szCs w:val="28"/>
        </w:rPr>
      </w:pPr>
      <w:bookmarkStart w:id="0" w:name="_GoBack"/>
      <w:bookmarkEnd w:id="0"/>
      <w:r w:rsidRPr="007D42F3">
        <w:rPr>
          <w:rFonts w:eastAsia="Times New Roman" w:cs="Arial"/>
          <w:b/>
          <w:bCs/>
          <w:iCs/>
          <w:noProof/>
          <w:sz w:val="28"/>
          <w:szCs w:val="28"/>
        </w:rPr>
        <w:t xml:space="preserve">Explanation of variances – pro forma </w:t>
      </w:r>
    </w:p>
    <w:p w14:paraId="204E52B6" w14:textId="623D7FD9" w:rsidR="002866E8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N</w:t>
      </w:r>
      <w:r w:rsidR="002866E8" w:rsidRPr="002866E8">
        <w:rPr>
          <w:rFonts w:eastAsia="Times New Roman" w:cs="Arial"/>
          <w:sz w:val="16"/>
          <w:szCs w:val="16"/>
        </w:rPr>
        <w:t>ame of smaller authority:</w:t>
      </w:r>
      <w:r w:rsidR="002866E8">
        <w:rPr>
          <w:rFonts w:eastAsia="Times New Roman" w:cs="Arial"/>
          <w:b/>
          <w:sz w:val="16"/>
          <w:szCs w:val="16"/>
        </w:rPr>
        <w:t xml:space="preserve"> </w:t>
      </w:r>
      <w:r w:rsidR="00F57F9B">
        <w:rPr>
          <w:rFonts w:eastAsia="Times New Roman" w:cs="Arial"/>
          <w:b/>
          <w:sz w:val="20"/>
          <w:szCs w:val="20"/>
        </w:rPr>
        <w:t xml:space="preserve">                        </w:t>
      </w:r>
      <w:proofErr w:type="spellStart"/>
      <w:r w:rsidR="00B1267F">
        <w:rPr>
          <w:rFonts w:eastAsia="Times New Roman" w:cs="Arial"/>
          <w:b/>
          <w:sz w:val="20"/>
          <w:szCs w:val="20"/>
        </w:rPr>
        <w:t>Blofield</w:t>
      </w:r>
      <w:proofErr w:type="spellEnd"/>
      <w:r w:rsidR="00B1267F">
        <w:rPr>
          <w:rFonts w:eastAsia="Times New Roman" w:cs="Arial"/>
          <w:b/>
          <w:sz w:val="20"/>
          <w:szCs w:val="20"/>
        </w:rPr>
        <w:t xml:space="preserve"> Parish Council</w:t>
      </w:r>
    </w:p>
    <w:p w14:paraId="77C7CBFB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14:paraId="46E96168" w14:textId="2BB4873A" w:rsidR="00BE1CD3" w:rsidRP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r w:rsidRPr="002866E8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16"/>
          <w:szCs w:val="16"/>
        </w:rPr>
        <w:t xml:space="preserve"> </w:t>
      </w:r>
      <w:r w:rsidR="00B1267F">
        <w:rPr>
          <w:rFonts w:eastAsia="Times New Roman" w:cs="Arial"/>
          <w:b/>
          <w:sz w:val="20"/>
          <w:szCs w:val="20"/>
        </w:rPr>
        <w:t>Norfolk County Council, Broadland District Council</w:t>
      </w:r>
    </w:p>
    <w:p w14:paraId="024AAB20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noProof/>
          <w:sz w:val="18"/>
          <w:szCs w:val="18"/>
        </w:rPr>
      </w:pPr>
    </w:p>
    <w:p w14:paraId="0593A406" w14:textId="77777777" w:rsidR="002866E8" w:rsidRPr="00BE1CD3" w:rsidRDefault="002866E8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b/>
          <w:noProof/>
          <w:sz w:val="20"/>
          <w:szCs w:val="20"/>
        </w:rPr>
        <w:t xml:space="preserve">Please provide </w:t>
      </w:r>
      <w:r w:rsidRPr="00BE1CD3">
        <w:rPr>
          <w:rFonts w:eastAsia="Times New Roman" w:cs="Arial"/>
          <w:b/>
          <w:noProof/>
          <w:sz w:val="20"/>
          <w:szCs w:val="20"/>
          <w:u w:val="single"/>
        </w:rPr>
        <w:t>full explanations, including numerical values</w:t>
      </w:r>
      <w:r w:rsidRPr="00BE1CD3">
        <w:rPr>
          <w:rFonts w:eastAsia="Times New Roman" w:cs="Arial"/>
          <w:noProof/>
          <w:sz w:val="20"/>
          <w:szCs w:val="20"/>
        </w:rPr>
        <w:t>, for the following:</w:t>
      </w:r>
    </w:p>
    <w:p w14:paraId="0C0832E8" w14:textId="77777777" w:rsidR="002866E8" w:rsidRPr="00BE1CD3" w:rsidRDefault="002866E8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variances of more than 15% between totals for individual boxes (except variances of less than £200); </w:t>
      </w:r>
    </w:p>
    <w:p w14:paraId="3195A5A5" w14:textId="77777777" w:rsidR="002866E8" w:rsidRPr="00BE1CD3" w:rsidRDefault="00871ACA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a breakdown of approved reserves </w:t>
      </w:r>
      <w:r w:rsidR="002866E8" w:rsidRPr="00BE1CD3">
        <w:rPr>
          <w:rFonts w:eastAsia="Times New Roman" w:cs="Arial"/>
          <w:noProof/>
          <w:sz w:val="20"/>
          <w:szCs w:val="20"/>
        </w:rPr>
        <w:t>if the total reserves (Box 7) figure is more than twice the annual precept</w:t>
      </w:r>
      <w:r w:rsidRPr="00BE1CD3">
        <w:rPr>
          <w:rFonts w:eastAsia="Times New Roman" w:cs="Arial"/>
          <w:noProof/>
          <w:sz w:val="20"/>
          <w:szCs w:val="20"/>
        </w:rPr>
        <w:t>/rates &amp; levies</w:t>
      </w:r>
      <w:r w:rsidR="002866E8" w:rsidRPr="00BE1CD3">
        <w:rPr>
          <w:rFonts w:eastAsia="Times New Roman" w:cs="Arial"/>
          <w:noProof/>
          <w:sz w:val="20"/>
          <w:szCs w:val="20"/>
        </w:rPr>
        <w:t xml:space="preserve"> value (Box 2).</w:t>
      </w:r>
    </w:p>
    <w:p w14:paraId="55007E70" w14:textId="77777777" w:rsidR="00BE1CD3" w:rsidRPr="002866E8" w:rsidRDefault="00BE1CD3" w:rsidP="00BE1CD3">
      <w:pPr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noProof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128"/>
        <w:gridCol w:w="1134"/>
        <w:gridCol w:w="1134"/>
        <w:gridCol w:w="1134"/>
        <w:gridCol w:w="3431"/>
      </w:tblGrid>
      <w:tr w:rsidR="002866E8" w:rsidRPr="007D42F3" w14:paraId="0573F7D5" w14:textId="77777777" w:rsidTr="00BE1CD3">
        <w:trPr>
          <w:trHeight w:val="527"/>
        </w:trPr>
        <w:tc>
          <w:tcPr>
            <w:tcW w:w="1390" w:type="dxa"/>
          </w:tcPr>
          <w:p w14:paraId="0EFF7D4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Section 2</w:t>
            </w:r>
          </w:p>
        </w:tc>
        <w:tc>
          <w:tcPr>
            <w:tcW w:w="1128" w:type="dxa"/>
          </w:tcPr>
          <w:p w14:paraId="7A7610E3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2016/17</w:t>
            </w:r>
          </w:p>
          <w:p w14:paraId="1E72DD9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37AB868E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2866E8">
              <w:rPr>
                <w:rFonts w:eastAsia="Times New Roman" w:cs="Arial"/>
                <w:b/>
                <w:noProof/>
                <w:szCs w:val="20"/>
              </w:rPr>
              <w:t>17</w:t>
            </w:r>
            <w:r>
              <w:rPr>
                <w:rFonts w:eastAsia="Times New Roman" w:cs="Arial"/>
                <w:b/>
                <w:noProof/>
                <w:szCs w:val="20"/>
              </w:rPr>
              <w:t>/18</w:t>
            </w:r>
          </w:p>
          <w:p w14:paraId="4A55BED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568816D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3DE1789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0DDD33E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7A1D952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%</w:t>
            </w:r>
          </w:p>
        </w:tc>
        <w:tc>
          <w:tcPr>
            <w:tcW w:w="3431" w:type="dxa"/>
          </w:tcPr>
          <w:p w14:paraId="5BEF469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Detailed explanation of variance (with amounts £)</w:t>
            </w:r>
          </w:p>
        </w:tc>
      </w:tr>
      <w:tr w:rsidR="002866E8" w:rsidRPr="007D42F3" w14:paraId="219A73E3" w14:textId="77777777" w:rsidTr="00BE1CD3">
        <w:trPr>
          <w:trHeight w:val="983"/>
        </w:trPr>
        <w:tc>
          <w:tcPr>
            <w:tcW w:w="1390" w:type="dxa"/>
          </w:tcPr>
          <w:p w14:paraId="4CF76C3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2</w:t>
            </w:r>
          </w:p>
          <w:p w14:paraId="4AFF388C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Precept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 or Rates and Levies</w:t>
            </w:r>
          </w:p>
          <w:p w14:paraId="3C29200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0BED68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39E4E6" w14:textId="503B4BE2" w:rsidR="002866E8" w:rsidRPr="007D42F3" w:rsidRDefault="0077277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35,780</w:t>
            </w:r>
          </w:p>
        </w:tc>
        <w:tc>
          <w:tcPr>
            <w:tcW w:w="1134" w:type="dxa"/>
          </w:tcPr>
          <w:p w14:paraId="3C0F00D4" w14:textId="5D0D8E85" w:rsidR="002866E8" w:rsidRPr="007D42F3" w:rsidRDefault="0041118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43,000</w:t>
            </w:r>
          </w:p>
        </w:tc>
        <w:tc>
          <w:tcPr>
            <w:tcW w:w="1134" w:type="dxa"/>
          </w:tcPr>
          <w:p w14:paraId="269FA47A" w14:textId="73450876" w:rsidR="002866E8" w:rsidRPr="007D42F3" w:rsidRDefault="0041118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7220</w:t>
            </w:r>
          </w:p>
        </w:tc>
        <w:tc>
          <w:tcPr>
            <w:tcW w:w="1134" w:type="dxa"/>
          </w:tcPr>
          <w:p w14:paraId="55759F88" w14:textId="4209AF7D" w:rsidR="002866E8" w:rsidRPr="007D42F3" w:rsidRDefault="00ED2B5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17</w:t>
            </w:r>
            <w:r w:rsidR="00E96855">
              <w:rPr>
                <w:rFonts w:eastAsia="Times New Roman" w:cs="Arial"/>
                <w:noProof/>
                <w:sz w:val="20"/>
                <w:szCs w:val="20"/>
              </w:rPr>
              <w:t>%</w:t>
            </w:r>
          </w:p>
        </w:tc>
        <w:tc>
          <w:tcPr>
            <w:tcW w:w="3431" w:type="dxa"/>
          </w:tcPr>
          <w:p w14:paraId="7542ED15" w14:textId="4C26B53D" w:rsidR="002866E8" w:rsidRPr="007D42F3" w:rsidRDefault="00E9685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The precept has been increased significantly as the </w:t>
            </w:r>
            <w:r w:rsidR="00B4303E">
              <w:rPr>
                <w:rFonts w:eastAsia="Times New Roman" w:cs="Arial"/>
                <w:noProof/>
                <w:sz w:val="20"/>
                <w:szCs w:val="20"/>
              </w:rPr>
              <w:t xml:space="preserve">due to significant development in the village (circa 500 homes over 5 years) both the work </w:t>
            </w:r>
            <w:r w:rsidR="000F59C6">
              <w:rPr>
                <w:rFonts w:eastAsia="Times New Roman" w:cs="Arial"/>
                <w:noProof/>
                <w:sz w:val="20"/>
                <w:szCs w:val="20"/>
              </w:rPr>
              <w:t>volumes and costs of the council are increasing quickly too.</w:t>
            </w:r>
            <w:r w:rsidR="00FA623E">
              <w:rPr>
                <w:rFonts w:eastAsia="Times New Roman" w:cs="Arial"/>
                <w:noProof/>
                <w:sz w:val="20"/>
                <w:szCs w:val="20"/>
              </w:rPr>
              <w:t xml:space="preserve">  See box 4. </w:t>
            </w:r>
          </w:p>
          <w:p w14:paraId="238E352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4E02AB17" w14:textId="77777777" w:rsidTr="00BE1CD3">
        <w:trPr>
          <w:trHeight w:val="983"/>
        </w:trPr>
        <w:tc>
          <w:tcPr>
            <w:tcW w:w="1390" w:type="dxa"/>
          </w:tcPr>
          <w:p w14:paraId="3D5C86F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3</w:t>
            </w:r>
          </w:p>
          <w:p w14:paraId="21B2476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receipts</w:t>
            </w:r>
          </w:p>
          <w:p w14:paraId="4F696766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9B0840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23C4ECF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ADFD48" w14:textId="77777777" w:rsidR="00514026" w:rsidRDefault="00514026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EC03CF2" w14:textId="4FB93EE0" w:rsidR="002866E8" w:rsidRPr="007D42F3" w:rsidRDefault="006E1534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106,090</w:t>
            </w:r>
          </w:p>
        </w:tc>
        <w:tc>
          <w:tcPr>
            <w:tcW w:w="1134" w:type="dxa"/>
          </w:tcPr>
          <w:p w14:paraId="3ECE2474" w14:textId="77777777" w:rsidR="00514026" w:rsidRDefault="00514026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FEEFE5D" w14:textId="7DDA67D4" w:rsidR="002866E8" w:rsidRPr="007D42F3" w:rsidRDefault="006E1534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148,865</w:t>
            </w:r>
          </w:p>
        </w:tc>
        <w:tc>
          <w:tcPr>
            <w:tcW w:w="1134" w:type="dxa"/>
          </w:tcPr>
          <w:p w14:paraId="4FF08FC0" w14:textId="77777777" w:rsidR="00514026" w:rsidRDefault="00514026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EA0DF38" w14:textId="05595A79" w:rsidR="002866E8" w:rsidRPr="007D42F3" w:rsidRDefault="003512F8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42,775</w:t>
            </w:r>
          </w:p>
        </w:tc>
        <w:tc>
          <w:tcPr>
            <w:tcW w:w="1134" w:type="dxa"/>
          </w:tcPr>
          <w:p w14:paraId="3504BFE4" w14:textId="77777777" w:rsidR="00514026" w:rsidRDefault="00514026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CA05257" w14:textId="5AC790A4" w:rsidR="002866E8" w:rsidRPr="007D42F3" w:rsidRDefault="003512F8" w:rsidP="00791E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29%</w:t>
            </w:r>
          </w:p>
        </w:tc>
        <w:tc>
          <w:tcPr>
            <w:tcW w:w="3431" w:type="dxa"/>
          </w:tcPr>
          <w:p w14:paraId="393BF7F4" w14:textId="53F2740E" w:rsidR="002866E8" w:rsidRDefault="00441A7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The Council has received </w:t>
            </w:r>
            <w:r w:rsidR="004317E4">
              <w:rPr>
                <w:rFonts w:eastAsia="Times New Roman" w:cs="Arial"/>
                <w:noProof/>
                <w:sz w:val="20"/>
                <w:szCs w:val="20"/>
              </w:rPr>
              <w:t xml:space="preserve">£124,773.91 in Community Infrastructure Levy </w:t>
            </w:r>
            <w:r w:rsidR="00BD6506">
              <w:rPr>
                <w:rFonts w:eastAsia="Times New Roman" w:cs="Arial"/>
                <w:noProof/>
                <w:sz w:val="20"/>
                <w:szCs w:val="20"/>
              </w:rPr>
              <w:t xml:space="preserve">(CIL) </w:t>
            </w:r>
            <w:r w:rsidR="004317E4">
              <w:rPr>
                <w:rFonts w:eastAsia="Times New Roman" w:cs="Arial"/>
                <w:noProof/>
                <w:sz w:val="20"/>
                <w:szCs w:val="20"/>
              </w:rPr>
              <w:t xml:space="preserve">in 2017/18 </w:t>
            </w:r>
            <w:r w:rsidR="00B0064D">
              <w:rPr>
                <w:rFonts w:eastAsia="Times New Roman" w:cs="Arial"/>
                <w:noProof/>
                <w:sz w:val="20"/>
                <w:szCs w:val="20"/>
              </w:rPr>
              <w:t>an increase from £102,305.30 in 2016/17.</w:t>
            </w:r>
          </w:p>
          <w:p w14:paraId="136E9DF7" w14:textId="4D2D9A19" w:rsidR="00671C3F" w:rsidRPr="007D42F3" w:rsidRDefault="00C9709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In 2017/18 t</w:t>
            </w:r>
            <w:r w:rsidR="00671C3F">
              <w:rPr>
                <w:rFonts w:eastAsia="Times New Roman" w:cs="Arial"/>
                <w:noProof/>
                <w:sz w:val="20"/>
                <w:szCs w:val="20"/>
              </w:rPr>
              <w:t xml:space="preserve">he Council received </w:t>
            </w:r>
            <w:r w:rsidR="00860971">
              <w:rPr>
                <w:rFonts w:eastAsia="Times New Roman" w:cs="Arial"/>
                <w:noProof/>
                <w:sz w:val="20"/>
                <w:szCs w:val="20"/>
              </w:rPr>
              <w:t xml:space="preserve">£8,412.47 in Section 106 funds for repairs to the community centre hall.  </w:t>
            </w:r>
          </w:p>
          <w:p w14:paraId="310A36CC" w14:textId="77777777" w:rsidR="00EA3505" w:rsidRDefault="00C9709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No VAT reclaim was made in 2016/17, one was made in 2017/18 for £</w:t>
            </w:r>
            <w:r w:rsidR="00EA3505">
              <w:rPr>
                <w:rFonts w:eastAsia="Times New Roman" w:cs="Arial"/>
                <w:noProof/>
                <w:sz w:val="20"/>
                <w:szCs w:val="20"/>
              </w:rPr>
              <w:t>2,492.31.</w:t>
            </w:r>
          </w:p>
          <w:p w14:paraId="5121E3AE" w14:textId="77777777" w:rsidR="00EA3505" w:rsidRDefault="0053610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No grants / donations were received in 2016/17, A grant for the Orchard Group noticeboard </w:t>
            </w:r>
            <w:r w:rsidR="00D07EC8">
              <w:rPr>
                <w:rFonts w:eastAsia="Times New Roman" w:cs="Arial"/>
                <w:noProof/>
                <w:sz w:val="20"/>
                <w:szCs w:val="20"/>
              </w:rPr>
              <w:t>of £1</w:t>
            </w:r>
            <w:r w:rsidR="007A348C">
              <w:rPr>
                <w:rFonts w:eastAsia="Times New Roman" w:cs="Arial"/>
                <w:noProof/>
                <w:sz w:val="20"/>
                <w:szCs w:val="20"/>
              </w:rPr>
              <w:t>,139</w:t>
            </w:r>
            <w:r w:rsidR="009C6F0A">
              <w:rPr>
                <w:rFonts w:eastAsia="Times New Roman" w:cs="Arial"/>
                <w:noProof/>
                <w:sz w:val="20"/>
                <w:szCs w:val="20"/>
              </w:rPr>
              <w:t xml:space="preserve"> and a donation from Blofield Courthouse for £3,000 were received in 2017/18.</w:t>
            </w:r>
          </w:p>
          <w:p w14:paraId="7758348D" w14:textId="77777777" w:rsidR="00330EE2" w:rsidRDefault="00330EE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The recycling credits reclaim increased from £</w:t>
            </w:r>
            <w:r w:rsidR="00102752">
              <w:rPr>
                <w:rFonts w:eastAsia="Times New Roman" w:cs="Arial"/>
                <w:noProof/>
                <w:sz w:val="20"/>
                <w:szCs w:val="20"/>
              </w:rPr>
              <w:t>605.91 in 2016/17 to £2,862.02 in 2017/18.</w:t>
            </w:r>
          </w:p>
          <w:p w14:paraId="4CA41692" w14:textId="5C30E72E" w:rsidR="00791E16" w:rsidRPr="007D42F3" w:rsidRDefault="00791E1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A refund was received from HMRC for £4,806.48 in 2017/18.</w:t>
            </w:r>
          </w:p>
        </w:tc>
      </w:tr>
      <w:tr w:rsidR="002866E8" w:rsidRPr="007D42F3" w14:paraId="06385AB4" w14:textId="77777777" w:rsidTr="00BE1CD3">
        <w:trPr>
          <w:trHeight w:val="997"/>
        </w:trPr>
        <w:tc>
          <w:tcPr>
            <w:tcW w:w="1390" w:type="dxa"/>
          </w:tcPr>
          <w:p w14:paraId="576A793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4</w:t>
            </w:r>
          </w:p>
          <w:p w14:paraId="2AB8B6A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Staff costs </w:t>
            </w:r>
          </w:p>
          <w:p w14:paraId="0B43FAB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49F4F97E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5614428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6248C9C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727D0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C32B72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0A83B10" w14:textId="1C9B7523" w:rsidR="002866E8" w:rsidRPr="007D42F3" w:rsidRDefault="00BF168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13,320</w:t>
            </w:r>
          </w:p>
        </w:tc>
        <w:tc>
          <w:tcPr>
            <w:tcW w:w="1134" w:type="dxa"/>
          </w:tcPr>
          <w:p w14:paraId="0E1B6050" w14:textId="77777777" w:rsidR="00C433FA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8BFB6FA" w14:textId="77777777" w:rsidR="00C433FA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0EEB8FD" w14:textId="4B4A9EED" w:rsidR="002866E8" w:rsidRPr="007D42F3" w:rsidRDefault="00BF168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17,191</w:t>
            </w:r>
          </w:p>
        </w:tc>
        <w:tc>
          <w:tcPr>
            <w:tcW w:w="1134" w:type="dxa"/>
          </w:tcPr>
          <w:p w14:paraId="2288053B" w14:textId="77777777" w:rsidR="00C433FA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8074ACC" w14:textId="77777777" w:rsidR="00C433FA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385F5E8" w14:textId="573D5C35" w:rsidR="002866E8" w:rsidRDefault="00B0214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3,871</w:t>
            </w:r>
          </w:p>
          <w:p w14:paraId="413BBC7E" w14:textId="0E09A830" w:rsidR="00B02149" w:rsidRPr="007D42F3" w:rsidRDefault="00B0214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A4FF7" w14:textId="77777777" w:rsidR="00C433FA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3A03356" w14:textId="77777777" w:rsidR="00C433FA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BBB0DE8" w14:textId="6D8A7465" w:rsidR="002866E8" w:rsidRPr="007D42F3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23%</w:t>
            </w:r>
          </w:p>
        </w:tc>
        <w:tc>
          <w:tcPr>
            <w:tcW w:w="3431" w:type="dxa"/>
          </w:tcPr>
          <w:p w14:paraId="421158D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06CEE57" w14:textId="1BCBCB76" w:rsidR="002866E8" w:rsidRDefault="00C433F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Staff costs have increased significantly as work volumes have increased</w:t>
            </w:r>
            <w:r w:rsidR="00BD6506">
              <w:rPr>
                <w:rFonts w:eastAsia="Times New Roman" w:cs="Arial"/>
                <w:noProof/>
                <w:sz w:val="20"/>
                <w:szCs w:val="20"/>
              </w:rPr>
              <w:t>.  With large volumes of housing comes large sums of CIL to the parish</w:t>
            </w:r>
            <w:r w:rsidR="00C9190D">
              <w:rPr>
                <w:rFonts w:eastAsia="Times New Roman" w:cs="Arial"/>
                <w:noProof/>
                <w:sz w:val="20"/>
                <w:szCs w:val="20"/>
              </w:rPr>
              <w:t>.</w:t>
            </w:r>
            <w:r w:rsidR="001307AC">
              <w:rPr>
                <w:rFonts w:eastAsia="Times New Roman" w:cs="Arial"/>
                <w:noProof/>
                <w:sz w:val="20"/>
                <w:szCs w:val="20"/>
              </w:rPr>
              <w:t xml:space="preserve">  Additional clerk time is required to consult with the parishioners and manage projects and improvements within the village</w:t>
            </w:r>
            <w:r w:rsidR="00900301">
              <w:rPr>
                <w:rFonts w:eastAsia="Times New Roman" w:cs="Arial"/>
                <w:noProof/>
                <w:sz w:val="20"/>
                <w:szCs w:val="20"/>
              </w:rPr>
              <w:t>.</w:t>
            </w:r>
            <w:r w:rsidR="005603A4">
              <w:rPr>
                <w:rFonts w:eastAsia="Times New Roman" w:cs="Arial"/>
                <w:noProof/>
                <w:sz w:val="20"/>
                <w:szCs w:val="20"/>
              </w:rPr>
              <w:t xml:space="preserve">  In addition the council have moved from 1 meeting a month to 2.</w:t>
            </w:r>
          </w:p>
          <w:p w14:paraId="2E8A2EF6" w14:textId="72AC459F" w:rsidR="00900301" w:rsidRPr="007D42F3" w:rsidRDefault="0090030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Clerk hours increased from 16hrs per week to </w:t>
            </w:r>
            <w:r w:rsidR="00134964">
              <w:rPr>
                <w:rFonts w:eastAsia="Times New Roman" w:cs="Arial"/>
                <w:noProof/>
                <w:sz w:val="20"/>
                <w:szCs w:val="20"/>
              </w:rPr>
              <w:t>30hrs per week by December 2017.  The full impact of this as not yet been seen on the salaries.</w:t>
            </w:r>
          </w:p>
        </w:tc>
      </w:tr>
      <w:tr w:rsidR="002866E8" w:rsidRPr="007D42F3" w14:paraId="4EF810F9" w14:textId="77777777" w:rsidTr="00BE1CD3">
        <w:trPr>
          <w:trHeight w:val="1125"/>
        </w:trPr>
        <w:tc>
          <w:tcPr>
            <w:tcW w:w="1390" w:type="dxa"/>
          </w:tcPr>
          <w:p w14:paraId="3AFC5BD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5</w:t>
            </w:r>
          </w:p>
          <w:p w14:paraId="7E5D417D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Loan interest/ capital repayments</w:t>
            </w:r>
          </w:p>
          <w:p w14:paraId="5AA6638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C45FDE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42A4D0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5DAC629" w14:textId="59BC5D9C" w:rsidR="002866E8" w:rsidRPr="007D42F3" w:rsidRDefault="00FA623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74F0F5F2" w14:textId="07D92F6B" w:rsidR="002866E8" w:rsidRPr="007D42F3" w:rsidRDefault="00FA623E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5B184A0F" w14:textId="754298A2" w:rsidR="002866E8" w:rsidRPr="007D42F3" w:rsidRDefault="004E41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Nil </w:t>
            </w:r>
          </w:p>
        </w:tc>
        <w:tc>
          <w:tcPr>
            <w:tcW w:w="1134" w:type="dxa"/>
          </w:tcPr>
          <w:p w14:paraId="4DDE191C" w14:textId="698D272D" w:rsidR="002866E8" w:rsidRPr="007D42F3" w:rsidRDefault="004E41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3431" w:type="dxa"/>
          </w:tcPr>
          <w:p w14:paraId="3B531C76" w14:textId="0A5829DB" w:rsidR="002866E8" w:rsidRPr="007D42F3" w:rsidRDefault="004E41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  <w:p w14:paraId="7E77A4B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2011C952" w14:textId="77777777" w:rsidTr="00BE1CD3">
        <w:trPr>
          <w:trHeight w:val="943"/>
        </w:trPr>
        <w:tc>
          <w:tcPr>
            <w:tcW w:w="1390" w:type="dxa"/>
            <w:tcBorders>
              <w:bottom w:val="single" w:sz="4" w:space="0" w:color="auto"/>
            </w:tcBorders>
          </w:tcPr>
          <w:p w14:paraId="1DAFF55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lastRenderedPageBreak/>
              <w:t>Box 6</w:t>
            </w:r>
          </w:p>
          <w:p w14:paraId="02644FD2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All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payments</w:t>
            </w:r>
          </w:p>
          <w:p w14:paraId="5D56E1C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691FD1B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04BCCB6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9D3B5D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9F3ABE9" w14:textId="1BC1F246" w:rsidR="002866E8" w:rsidRPr="007D42F3" w:rsidRDefault="004E41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25,791</w:t>
            </w:r>
          </w:p>
          <w:p w14:paraId="0416C2F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4255D8" w14:textId="58C8191D" w:rsidR="002866E8" w:rsidRPr="007D42F3" w:rsidRDefault="004E41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74,612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E430B0" w14:textId="0D4CE2CA" w:rsidR="002866E8" w:rsidRPr="007D42F3" w:rsidRDefault="002B48E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48821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2C951A" w14:textId="465D08AC" w:rsidR="002866E8" w:rsidRPr="007D42F3" w:rsidRDefault="00EA479B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65%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46B91B0B" w14:textId="11F06834" w:rsidR="00F16F20" w:rsidRDefault="00F16F2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No reserves were spent in 2016/17, however £</w:t>
            </w:r>
            <w:r w:rsidR="001B2599">
              <w:rPr>
                <w:rFonts w:eastAsia="Times New Roman" w:cs="Arial"/>
                <w:noProof/>
                <w:sz w:val="20"/>
                <w:szCs w:val="20"/>
              </w:rPr>
              <w:t xml:space="preserve">20,291 of reserves were spent in 2017/18, </w:t>
            </w:r>
            <w:r w:rsidR="00F566FC">
              <w:rPr>
                <w:rFonts w:eastAsia="Times New Roman" w:cs="Arial"/>
                <w:noProof/>
                <w:sz w:val="20"/>
                <w:szCs w:val="20"/>
              </w:rPr>
              <w:t>£16,910 on churchyard wall replacement and essential tree maintenance</w:t>
            </w:r>
            <w:r w:rsidR="00B970ED">
              <w:rPr>
                <w:rFonts w:eastAsia="Times New Roman" w:cs="Arial"/>
                <w:noProof/>
                <w:sz w:val="20"/>
                <w:szCs w:val="20"/>
              </w:rPr>
              <w:t xml:space="preserve">.  </w:t>
            </w:r>
            <w:r w:rsidR="00EE4E72">
              <w:rPr>
                <w:rFonts w:eastAsia="Times New Roman" w:cs="Arial"/>
                <w:noProof/>
                <w:sz w:val="20"/>
                <w:szCs w:val="20"/>
              </w:rPr>
              <w:t xml:space="preserve">In addition, </w:t>
            </w:r>
            <w:r w:rsidR="00B970ED">
              <w:rPr>
                <w:rFonts w:eastAsia="Times New Roman" w:cs="Arial"/>
                <w:noProof/>
                <w:sz w:val="20"/>
                <w:szCs w:val="20"/>
              </w:rPr>
              <w:t>£3,381</w:t>
            </w:r>
            <w:r w:rsidR="00EE4E72">
              <w:rPr>
                <w:rFonts w:eastAsia="Times New Roman" w:cs="Arial"/>
                <w:noProof/>
                <w:sz w:val="20"/>
                <w:szCs w:val="20"/>
              </w:rPr>
              <w:t xml:space="preserve"> was spent on a speed sign for the village. </w:t>
            </w:r>
          </w:p>
          <w:p w14:paraId="25D8E0B0" w14:textId="13ECA5BD" w:rsidR="00EE4E72" w:rsidRDefault="00EE4E7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£8,412</w:t>
            </w:r>
            <w:r w:rsidR="00AB7CE6">
              <w:rPr>
                <w:rFonts w:eastAsia="Times New Roman" w:cs="Arial"/>
                <w:noProof/>
                <w:sz w:val="20"/>
                <w:szCs w:val="20"/>
              </w:rPr>
              <w:t xml:space="preserve"> from Section 106 payments were made to improve the community centre car park.</w:t>
            </w:r>
          </w:p>
          <w:p w14:paraId="4BF066D3" w14:textId="42DD4E22" w:rsidR="00902935" w:rsidRDefault="0090293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VAT payments were </w:t>
            </w:r>
            <w:r w:rsidR="00E87E4D">
              <w:rPr>
                <w:rFonts w:eastAsia="Times New Roman" w:cs="Arial"/>
                <w:noProof/>
                <w:sz w:val="20"/>
                <w:szCs w:val="20"/>
              </w:rPr>
              <w:t xml:space="preserve">increased from £1,202 in 2016/17 to £9,212 in </w:t>
            </w:r>
            <w:r w:rsidR="00333498">
              <w:rPr>
                <w:rFonts w:eastAsia="Times New Roman" w:cs="Arial"/>
                <w:noProof/>
                <w:sz w:val="20"/>
                <w:szCs w:val="20"/>
              </w:rPr>
              <w:t>2017/18</w:t>
            </w:r>
            <w:r w:rsidR="000D6A24">
              <w:rPr>
                <w:rFonts w:eastAsia="Times New Roman" w:cs="Arial"/>
                <w:noProof/>
                <w:sz w:val="20"/>
                <w:szCs w:val="20"/>
              </w:rPr>
              <w:t>.</w:t>
            </w:r>
          </w:p>
          <w:p w14:paraId="0672E9A6" w14:textId="579A0CF8" w:rsidR="002C4A39" w:rsidRDefault="009D3EDD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Significant work too place to improve the blofield courthouse facilities during 2017/18 at a cost of £</w:t>
            </w:r>
            <w:r w:rsidR="00954218">
              <w:rPr>
                <w:rFonts w:eastAsia="Times New Roman" w:cs="Arial"/>
                <w:noProof/>
                <w:sz w:val="20"/>
                <w:szCs w:val="20"/>
              </w:rPr>
              <w:t>6,387.68.</w:t>
            </w:r>
          </w:p>
          <w:p w14:paraId="473C51D2" w14:textId="1D0913CB" w:rsidR="00954218" w:rsidRDefault="0012140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All budgetted funds of £5,500 were spent on the Churchyard during 2017/18</w:t>
            </w:r>
            <w:r w:rsidR="00BB31CA">
              <w:rPr>
                <w:rFonts w:eastAsia="Times New Roman" w:cs="Arial"/>
                <w:noProof/>
                <w:sz w:val="20"/>
                <w:szCs w:val="20"/>
              </w:rPr>
              <w:t>.</w:t>
            </w:r>
          </w:p>
          <w:p w14:paraId="1423199F" w14:textId="7BB953D0" w:rsidR="00C34628" w:rsidRDefault="00C3462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Village maps were installed in 10 locations the parish at a cost of £</w:t>
            </w:r>
            <w:r w:rsidR="00B410DA">
              <w:rPr>
                <w:rFonts w:eastAsia="Times New Roman" w:cs="Arial"/>
                <w:noProof/>
                <w:sz w:val="20"/>
                <w:szCs w:val="20"/>
              </w:rPr>
              <w:t>1,463.</w:t>
            </w:r>
          </w:p>
          <w:p w14:paraId="00491ECD" w14:textId="011EC2C8" w:rsidR="00BB31CA" w:rsidRDefault="00BB31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The Speed sign received a new battery and upgrade in 201718 at a cost of </w:t>
            </w:r>
            <w:r w:rsidR="00C34628">
              <w:rPr>
                <w:rFonts w:eastAsia="Times New Roman" w:cs="Arial"/>
                <w:noProof/>
                <w:sz w:val="20"/>
                <w:szCs w:val="20"/>
              </w:rPr>
              <w:t>£430.</w:t>
            </w:r>
          </w:p>
          <w:p w14:paraId="38AA878B" w14:textId="60FE18D2" w:rsidR="00C34628" w:rsidRDefault="00BD0FB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The recycling payment increased form £724 in 2016/17 to £2,693 in 2017/18.</w:t>
            </w:r>
          </w:p>
          <w:p w14:paraId="67A558F0" w14:textId="4E42DE8B" w:rsidR="00121406" w:rsidRDefault="00AF2C7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Allotments expenditure increased by 1/3, from £</w:t>
            </w:r>
            <w:r w:rsidR="00094AEE">
              <w:rPr>
                <w:rFonts w:eastAsia="Times New Roman" w:cs="Arial"/>
                <w:noProof/>
                <w:sz w:val="20"/>
                <w:szCs w:val="20"/>
              </w:rPr>
              <w:t>950 in 2016/17 to £1,480 in 2017/18.</w:t>
            </w:r>
          </w:p>
          <w:p w14:paraId="766067AA" w14:textId="7FB6373C" w:rsidR="00670C16" w:rsidRDefault="00670C16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A refund </w:t>
            </w:r>
            <w:r w:rsidR="0004246B">
              <w:rPr>
                <w:rFonts w:eastAsia="Times New Roman" w:cs="Arial"/>
                <w:noProof/>
                <w:sz w:val="20"/>
                <w:szCs w:val="20"/>
              </w:rPr>
              <w:t>of £1,205 was made to HMRC</w:t>
            </w:r>
            <w:r w:rsidR="00D56C63">
              <w:rPr>
                <w:rFonts w:eastAsia="Times New Roman" w:cs="Arial"/>
                <w:noProof/>
                <w:sz w:val="20"/>
                <w:szCs w:val="20"/>
              </w:rPr>
              <w:t xml:space="preserve"> due to an overpayment of Statutory Maturnity Pay</w:t>
            </w:r>
            <w:r w:rsidR="00132288">
              <w:rPr>
                <w:rFonts w:eastAsia="Times New Roman" w:cs="Arial"/>
                <w:noProof/>
                <w:sz w:val="20"/>
                <w:szCs w:val="20"/>
              </w:rPr>
              <w:t xml:space="preserve"> from them.</w:t>
            </w:r>
          </w:p>
          <w:p w14:paraId="3D60ACA9" w14:textId="017A4838" w:rsidR="002866E8" w:rsidRPr="007D42F3" w:rsidRDefault="002C4A39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In addition notable increases have been seen in adminstration costs and council running costs, as a result of additional parish clerk hours.</w:t>
            </w:r>
          </w:p>
          <w:p w14:paraId="40CC9B4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46E8C8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1BB9F545" w14:textId="77777777" w:rsidTr="00BE1CD3">
        <w:trPr>
          <w:trHeight w:val="987"/>
        </w:trPr>
        <w:tc>
          <w:tcPr>
            <w:tcW w:w="1390" w:type="dxa"/>
          </w:tcPr>
          <w:p w14:paraId="6565240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9</w:t>
            </w:r>
          </w:p>
          <w:p w14:paraId="7425220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f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ixed assets &amp; long term 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investments &amp; 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assets</w:t>
            </w:r>
          </w:p>
        </w:tc>
        <w:tc>
          <w:tcPr>
            <w:tcW w:w="1128" w:type="dxa"/>
          </w:tcPr>
          <w:p w14:paraId="038FEFA2" w14:textId="20A42315" w:rsidR="002866E8" w:rsidRPr="00064F55" w:rsidRDefault="00EE4A5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noProof/>
                <w:color w:val="FF0000"/>
                <w:sz w:val="20"/>
                <w:szCs w:val="20"/>
              </w:rPr>
              <w:t>438096</w:t>
            </w:r>
          </w:p>
        </w:tc>
        <w:tc>
          <w:tcPr>
            <w:tcW w:w="1134" w:type="dxa"/>
          </w:tcPr>
          <w:p w14:paraId="43E8DCC3" w14:textId="41294E8F" w:rsidR="002866E8" w:rsidRPr="007D42F3" w:rsidRDefault="00EE4A5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440379</w:t>
            </w:r>
          </w:p>
        </w:tc>
        <w:tc>
          <w:tcPr>
            <w:tcW w:w="1134" w:type="dxa"/>
          </w:tcPr>
          <w:p w14:paraId="576A068C" w14:textId="7C943484" w:rsidR="002866E8" w:rsidRPr="007D42F3" w:rsidRDefault="005869E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2283</w:t>
            </w:r>
          </w:p>
        </w:tc>
        <w:tc>
          <w:tcPr>
            <w:tcW w:w="1134" w:type="dxa"/>
          </w:tcPr>
          <w:p w14:paraId="1989FD4E" w14:textId="1B380BA1" w:rsidR="002866E8" w:rsidRPr="007D42F3" w:rsidRDefault="005869E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0.6%</w:t>
            </w:r>
          </w:p>
        </w:tc>
        <w:tc>
          <w:tcPr>
            <w:tcW w:w="3431" w:type="dxa"/>
          </w:tcPr>
          <w:p w14:paraId="5DC76802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5EE0A4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80D927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35799B9E" w14:textId="77777777" w:rsidTr="00BE1CD3">
        <w:trPr>
          <w:trHeight w:val="973"/>
        </w:trPr>
        <w:tc>
          <w:tcPr>
            <w:tcW w:w="1390" w:type="dxa"/>
          </w:tcPr>
          <w:p w14:paraId="4803177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10</w:t>
            </w:r>
          </w:p>
          <w:p w14:paraId="39A7B09B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b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orrowings</w:t>
            </w:r>
          </w:p>
          <w:p w14:paraId="712F00A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3337DD8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013B6BE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A826AE" w14:textId="2BD4E369" w:rsidR="002866E8" w:rsidRPr="007D42F3" w:rsidRDefault="002E2A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50E0DB45" w14:textId="2F744F57" w:rsidR="002866E8" w:rsidRPr="007D42F3" w:rsidRDefault="002E2A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5D48C73F" w14:textId="0CC70AD4" w:rsidR="002866E8" w:rsidRPr="007D42F3" w:rsidRDefault="002E2A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4C10AC47" w14:textId="4BFDEE58" w:rsidR="002866E8" w:rsidRPr="007D42F3" w:rsidRDefault="002E2A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3431" w:type="dxa"/>
          </w:tcPr>
          <w:p w14:paraId="4DF4EF01" w14:textId="6C92B970" w:rsidR="002866E8" w:rsidRPr="007D42F3" w:rsidRDefault="002E2A64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  <w:p w14:paraId="4881C54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22D1886E" w14:textId="77777777" w:rsidTr="00BE1CD3">
        <w:trPr>
          <w:trHeight w:val="973"/>
        </w:trPr>
        <w:tc>
          <w:tcPr>
            <w:tcW w:w="1390" w:type="dxa"/>
          </w:tcPr>
          <w:p w14:paraId="1553D50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Explanation for ‘high’ reserves</w:t>
            </w:r>
          </w:p>
          <w:p w14:paraId="4C20B5E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1DEF2D8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7BB20F8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</w:tc>
        <w:tc>
          <w:tcPr>
            <w:tcW w:w="7961" w:type="dxa"/>
            <w:gridSpan w:val="5"/>
          </w:tcPr>
          <w:p w14:paraId="79DA3E1E" w14:textId="3583AE31" w:rsidR="001271EF" w:rsidRDefault="002866E8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Box 7 is more than twice Box 2 because </w:t>
            </w:r>
            <w:r w:rsidR="00871ACA">
              <w:rPr>
                <w:rFonts w:eastAsia="Times New Roman" w:cs="Arial"/>
                <w:noProof/>
                <w:sz w:val="20"/>
                <w:szCs w:val="20"/>
              </w:rPr>
              <w:t>the authority held the following breakdown of reserves at the year end:</w:t>
            </w:r>
          </w:p>
          <w:tbl>
            <w:tblPr>
              <w:tblW w:w="662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1015"/>
              <w:gridCol w:w="1015"/>
              <w:gridCol w:w="1015"/>
              <w:gridCol w:w="960"/>
              <w:gridCol w:w="1600"/>
            </w:tblGrid>
            <w:tr w:rsidR="00D50B43" w:rsidRPr="00D50B43" w14:paraId="58ABC664" w14:textId="77777777" w:rsidTr="00D50B43">
              <w:trPr>
                <w:trHeight w:val="315"/>
              </w:trPr>
              <w:tc>
                <w:tcPr>
                  <w:tcW w:w="40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03065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  <w:r w:rsidRPr="00D50B4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>Community Infrastructure LEVY (CIL)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D7440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181C2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  <w:r w:rsidRPr="00D50B4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 xml:space="preserve"> £253,354.06 </w:t>
                  </w:r>
                </w:p>
              </w:tc>
            </w:tr>
            <w:tr w:rsidR="00D50B43" w:rsidRPr="00D50B43" w14:paraId="7AB69FA3" w14:textId="77777777" w:rsidTr="00D50B43">
              <w:trPr>
                <w:trHeight w:val="315"/>
              </w:trPr>
              <w:tc>
                <w:tcPr>
                  <w:tcW w:w="3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6DF24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  <w:r w:rsidRPr="00D50B4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>Earmarked Reserves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B48BC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23A45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27171" w14:textId="3831B0AA" w:rsidR="00D50B43" w:rsidRPr="00D50B43" w:rsidRDefault="0091106F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  <w:r w:rsidRPr="004B2FD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>£</w:t>
                  </w:r>
                  <w:r w:rsidR="00D50B43" w:rsidRPr="00D50B4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 xml:space="preserve">40,799.27 </w:t>
                  </w:r>
                </w:p>
              </w:tc>
            </w:tr>
            <w:tr w:rsidR="00D50B43" w:rsidRPr="00D50B43" w14:paraId="0BD36678" w14:textId="77777777" w:rsidTr="00D50B43">
              <w:trPr>
                <w:trHeight w:val="315"/>
              </w:trPr>
              <w:tc>
                <w:tcPr>
                  <w:tcW w:w="40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73B22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  <w:r w:rsidRPr="00D50B4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>General Fund (unallocated reserves)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45833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875FE" w14:textId="01EE90B2" w:rsidR="00D50B43" w:rsidRPr="00D50B43" w:rsidRDefault="0091106F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  <w:r w:rsidRPr="004B2FD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>£</w:t>
                  </w:r>
                  <w:r w:rsidR="00D50B43" w:rsidRPr="00D50B4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 xml:space="preserve">24,895.20 </w:t>
                  </w:r>
                </w:p>
              </w:tc>
            </w:tr>
            <w:tr w:rsidR="00D50B43" w:rsidRPr="00D50B43" w14:paraId="1CA2A8F6" w14:textId="77777777" w:rsidTr="00D50B43">
              <w:trPr>
                <w:trHeight w:val="330"/>
              </w:trPr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ED13A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D6A6B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88E99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343A5" w14:textId="11201FEA" w:rsidR="00D50B43" w:rsidRPr="00D50B43" w:rsidRDefault="0091106F" w:rsidP="00D50B4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4B2F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6F665" w14:textId="01458486" w:rsidR="00D50B43" w:rsidRPr="00D50B43" w:rsidRDefault="0091106F" w:rsidP="00D50B4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4B2F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75848" w14:textId="77777777" w:rsidR="00D50B43" w:rsidRPr="00D50B43" w:rsidRDefault="00D50B43" w:rsidP="00D50B43">
                  <w:pPr>
                    <w:spacing w:after="0" w:line="240" w:lineRule="auto"/>
                    <w:jc w:val="left"/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</w:pPr>
                  <w:r w:rsidRPr="00D50B43">
                    <w:rPr>
                      <w:rFonts w:eastAsia="Times New Roman" w:cs="Arial"/>
                      <w:sz w:val="20"/>
                      <w:szCs w:val="24"/>
                      <w:lang w:eastAsia="en-GB"/>
                    </w:rPr>
                    <w:t xml:space="preserve"> £319,048.53 </w:t>
                  </w:r>
                </w:p>
              </w:tc>
            </w:tr>
          </w:tbl>
          <w:p w14:paraId="1410CEAE" w14:textId="77777777" w:rsidR="001271EF" w:rsidRDefault="001271EF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15FE90D" w14:textId="77777777"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77C61AE" w14:textId="5D00FDF6" w:rsidR="00871ACA" w:rsidRPr="008A2EAA" w:rsidRDefault="004D3284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8A2EAA">
              <w:rPr>
                <w:rFonts w:eastAsia="Times New Roman" w:cs="Arial"/>
                <w:noProof/>
                <w:sz w:val="20"/>
                <w:szCs w:val="20"/>
              </w:rPr>
              <w:t xml:space="preserve">See attached report page 3 (item 3) and page 4 (item </w:t>
            </w:r>
            <w:r w:rsidR="008A2EAA" w:rsidRPr="008A2EAA">
              <w:rPr>
                <w:rFonts w:eastAsia="Times New Roman" w:cs="Arial"/>
                <w:noProof/>
                <w:sz w:val="20"/>
                <w:szCs w:val="20"/>
              </w:rPr>
              <w:t>8) for further detail on reserves and CIL funds.</w:t>
            </w:r>
          </w:p>
          <w:p w14:paraId="5E81561D" w14:textId="77777777" w:rsidR="00871ACA" w:rsidRPr="007D42F3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</w:tbl>
    <w:p w14:paraId="5B6B9B08" w14:textId="77777777" w:rsidR="00500F4D" w:rsidRDefault="00500F4D" w:rsidP="00DD111D"/>
    <w:sectPr w:rsidR="00500F4D" w:rsidSect="008A2EAA">
      <w:pgSz w:w="11906" w:h="16838"/>
      <w:pgMar w:top="567" w:right="1440" w:bottom="56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F333" w14:textId="77777777" w:rsidR="002C31CE" w:rsidRDefault="002C31CE" w:rsidP="00BE1CD3">
      <w:pPr>
        <w:spacing w:after="0" w:line="240" w:lineRule="auto"/>
      </w:pPr>
      <w:r>
        <w:separator/>
      </w:r>
    </w:p>
  </w:endnote>
  <w:endnote w:type="continuationSeparator" w:id="0">
    <w:p w14:paraId="487555B8" w14:textId="77777777" w:rsidR="002C31CE" w:rsidRDefault="002C31CE" w:rsidP="00B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76F27" w14:textId="77777777" w:rsidR="002C31CE" w:rsidRDefault="002C31CE" w:rsidP="00BE1CD3">
      <w:pPr>
        <w:spacing w:after="0" w:line="240" w:lineRule="auto"/>
      </w:pPr>
      <w:r>
        <w:separator/>
      </w:r>
    </w:p>
  </w:footnote>
  <w:footnote w:type="continuationSeparator" w:id="0">
    <w:p w14:paraId="5D35BA85" w14:textId="77777777" w:rsidR="002C31CE" w:rsidRDefault="002C31CE" w:rsidP="00BE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DB2"/>
    <w:multiLevelType w:val="hybridMultilevel"/>
    <w:tmpl w:val="3E744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E8"/>
    <w:rsid w:val="0004246B"/>
    <w:rsid w:val="00064F55"/>
    <w:rsid w:val="00094AEE"/>
    <w:rsid w:val="000D6A24"/>
    <w:rsid w:val="000F59C6"/>
    <w:rsid w:val="00102752"/>
    <w:rsid w:val="00121406"/>
    <w:rsid w:val="001271EF"/>
    <w:rsid w:val="001307AC"/>
    <w:rsid w:val="00132288"/>
    <w:rsid w:val="00134964"/>
    <w:rsid w:val="0014112E"/>
    <w:rsid w:val="00146070"/>
    <w:rsid w:val="00191065"/>
    <w:rsid w:val="001B2599"/>
    <w:rsid w:val="002866E8"/>
    <w:rsid w:val="002B48EA"/>
    <w:rsid w:val="002C31CE"/>
    <w:rsid w:val="002C4A39"/>
    <w:rsid w:val="002E2A64"/>
    <w:rsid w:val="00330EE2"/>
    <w:rsid w:val="00333498"/>
    <w:rsid w:val="003512F8"/>
    <w:rsid w:val="003F71AC"/>
    <w:rsid w:val="0041118E"/>
    <w:rsid w:val="004317E4"/>
    <w:rsid w:val="00441A7E"/>
    <w:rsid w:val="004436CB"/>
    <w:rsid w:val="004B2FD3"/>
    <w:rsid w:val="004D3284"/>
    <w:rsid w:val="004E4164"/>
    <w:rsid w:val="00500F4D"/>
    <w:rsid w:val="00514026"/>
    <w:rsid w:val="0053610C"/>
    <w:rsid w:val="005603A4"/>
    <w:rsid w:val="005869EA"/>
    <w:rsid w:val="00670C16"/>
    <w:rsid w:val="00671C3F"/>
    <w:rsid w:val="006E1534"/>
    <w:rsid w:val="00772773"/>
    <w:rsid w:val="00791E16"/>
    <w:rsid w:val="007A348C"/>
    <w:rsid w:val="00860971"/>
    <w:rsid w:val="00871ACA"/>
    <w:rsid w:val="008A2EAA"/>
    <w:rsid w:val="00900301"/>
    <w:rsid w:val="00902935"/>
    <w:rsid w:val="0091106F"/>
    <w:rsid w:val="00954218"/>
    <w:rsid w:val="009C6F0A"/>
    <w:rsid w:val="009D3EDD"/>
    <w:rsid w:val="00AB7CE6"/>
    <w:rsid w:val="00AF2C79"/>
    <w:rsid w:val="00B0064D"/>
    <w:rsid w:val="00B02149"/>
    <w:rsid w:val="00B1267F"/>
    <w:rsid w:val="00B410DA"/>
    <w:rsid w:val="00B4303E"/>
    <w:rsid w:val="00B57724"/>
    <w:rsid w:val="00B970ED"/>
    <w:rsid w:val="00BB31CA"/>
    <w:rsid w:val="00BD0FB2"/>
    <w:rsid w:val="00BD6506"/>
    <w:rsid w:val="00BE1CD3"/>
    <w:rsid w:val="00BF1684"/>
    <w:rsid w:val="00C34628"/>
    <w:rsid w:val="00C433FA"/>
    <w:rsid w:val="00C9190D"/>
    <w:rsid w:val="00C9709C"/>
    <w:rsid w:val="00CE0878"/>
    <w:rsid w:val="00D07EC8"/>
    <w:rsid w:val="00D50B43"/>
    <w:rsid w:val="00D56C63"/>
    <w:rsid w:val="00DD111D"/>
    <w:rsid w:val="00E87E4D"/>
    <w:rsid w:val="00E96855"/>
    <w:rsid w:val="00EA3505"/>
    <w:rsid w:val="00EA479B"/>
    <w:rsid w:val="00ED2B59"/>
    <w:rsid w:val="00EE4A58"/>
    <w:rsid w:val="00EE4E72"/>
    <w:rsid w:val="00F16F20"/>
    <w:rsid w:val="00F34CF3"/>
    <w:rsid w:val="00F566FC"/>
    <w:rsid w:val="00F57F9B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A2F2"/>
  <w15:chartTrackingRefBased/>
  <w15:docId w15:val="{560F75F8-C027-4936-B3FD-FAADBD5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6E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D3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D3"/>
    <w:rPr>
      <w:rFonts w:ascii="Arial" w:hAnsi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Melanie  Eversfield</cp:lastModifiedBy>
  <cp:revision>2</cp:revision>
  <cp:lastPrinted>2018-06-06T11:24:00Z</cp:lastPrinted>
  <dcterms:created xsi:type="dcterms:W3CDTF">2018-06-06T11:24:00Z</dcterms:created>
  <dcterms:modified xsi:type="dcterms:W3CDTF">2018-06-06T11:24:00Z</dcterms:modified>
</cp:coreProperties>
</file>